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Default="00F66949" w:rsidP="00B57C58">
      <w:pPr>
        <w:pStyle w:val="BodyText"/>
        <w:spacing w:before="0"/>
      </w:pPr>
      <w:bookmarkStart w:id="0" w:name="_GoBack"/>
      <w:bookmarkEnd w:id="0"/>
      <w:r>
        <w:rPr>
          <w:noProof/>
          <w:lang w:bidi="ar-SA"/>
        </w:rPr>
        <w:drawing>
          <wp:inline distT="0" distB="0" distL="0" distR="0" wp14:anchorId="53D481AE" wp14:editId="1A7FE1F4">
            <wp:extent cx="2019300" cy="1028700"/>
            <wp:effectExtent l="0" t="0" r="0" b="0"/>
            <wp:docPr id="1" name="Picture 1" descr="cid:image005.png@01DA6579.8270CE10"/>
            <wp:cNvGraphicFramePr/>
            <a:graphic xmlns:a="http://schemas.openxmlformats.org/drawingml/2006/main">
              <a:graphicData uri="http://schemas.openxmlformats.org/drawingml/2006/picture">
                <pic:pic xmlns:pic="http://schemas.openxmlformats.org/drawingml/2006/picture">
                  <pic:nvPicPr>
                    <pic:cNvPr id="1" name="Picture 1" descr="cid:image005.png@01DA6579.8270CE1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028700"/>
                    </a:xfrm>
                    <a:prstGeom prst="rect">
                      <a:avLst/>
                    </a:prstGeom>
                    <a:noFill/>
                    <a:ln>
                      <a:noFill/>
                    </a:ln>
                  </pic:spPr>
                </pic:pic>
              </a:graphicData>
            </a:graphic>
          </wp:inline>
        </w:drawing>
      </w:r>
    </w:p>
    <w:p w:rsidR="00F66949" w:rsidRDefault="00F66949" w:rsidP="00F7125F">
      <w:pPr>
        <w:pStyle w:val="BodyText"/>
        <w:spacing w:before="0"/>
        <w:ind w:right="2"/>
        <w:jc w:val="center"/>
      </w:pPr>
    </w:p>
    <w:p w:rsidR="00CF670F" w:rsidRDefault="008E382A" w:rsidP="00F7125F">
      <w:pPr>
        <w:pStyle w:val="BodyText"/>
        <w:spacing w:before="0"/>
        <w:ind w:right="2"/>
        <w:jc w:val="center"/>
      </w:pPr>
      <w:r w:rsidRPr="00BA0FA6">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635908" w:rsidP="00F7125F">
            <w:pPr>
              <w:pStyle w:val="BodyText"/>
              <w:spacing w:before="0"/>
              <w:ind w:right="2"/>
              <w:rPr>
                <w:b w:val="0"/>
                <w:sz w:val="22"/>
                <w:szCs w:val="22"/>
              </w:rPr>
            </w:pPr>
            <w:r>
              <w:rPr>
                <w:b w:val="0"/>
                <w:sz w:val="22"/>
                <w:szCs w:val="22"/>
              </w:rPr>
              <w:t xml:space="preserve">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491332" w:rsidRPr="00BA0FA6" w:rsidRDefault="00491332" w:rsidP="00F7125F">
            <w:pPr>
              <w:pStyle w:val="BodyText"/>
              <w:spacing w:before="0"/>
              <w:ind w:right="2"/>
              <w:rPr>
                <w:b w:val="0"/>
                <w:sz w:val="22"/>
                <w:szCs w:val="22"/>
              </w:rPr>
            </w:pPr>
            <w:r>
              <w:rPr>
                <w:b w:val="0"/>
                <w:sz w:val="22"/>
                <w:szCs w:val="22"/>
              </w:rPr>
              <w:t>Last update</w:t>
            </w:r>
          </w:p>
        </w:tc>
        <w:tc>
          <w:tcPr>
            <w:tcW w:w="6849" w:type="dxa"/>
            <w:tcBorders>
              <w:right w:val="single" w:sz="4" w:space="0" w:color="auto"/>
            </w:tcBorders>
          </w:tcPr>
          <w:p w:rsidR="00491332" w:rsidRPr="00BA0FA6" w:rsidRDefault="00D52A49" w:rsidP="00F7125F">
            <w:pPr>
              <w:pStyle w:val="BodyText"/>
              <w:spacing w:before="0"/>
              <w:ind w:right="2"/>
              <w:rPr>
                <w:b w:val="0"/>
                <w:sz w:val="22"/>
                <w:szCs w:val="22"/>
              </w:rPr>
            </w:pPr>
            <w:r>
              <w:rPr>
                <w:b w:val="0"/>
                <w:sz w:val="22"/>
                <w:szCs w:val="22"/>
              </w:rPr>
              <w:t>July 2022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AE6604" w:rsidRPr="00BA0FA6" w:rsidTr="004D31C0">
        <w:tc>
          <w:tcPr>
            <w:tcW w:w="9064" w:type="dxa"/>
            <w:gridSpan w:val="2"/>
            <w:tcBorders>
              <w:top w:val="single" w:sz="4" w:space="0" w:color="auto"/>
              <w:bottom w:val="single" w:sz="4" w:space="0" w:color="auto"/>
            </w:tcBorders>
          </w:tcPr>
          <w:p w:rsidR="00A07A71" w:rsidRPr="00BA0FA6" w:rsidRDefault="00A07A71"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 xml:space="preserve">To assist in the management of patient care in partnership with the department structure.  </w:t>
            </w:r>
          </w:p>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Provide clinical leadership to nursing, support staff and volunteers.</w:t>
            </w:r>
          </w:p>
          <w:p w:rsidR="005C246D" w:rsidRPr="00A07A71" w:rsidRDefault="007E7E46" w:rsidP="007E7E46">
            <w:pPr>
              <w:pStyle w:val="ListParagraph"/>
              <w:numPr>
                <w:ilvl w:val="0"/>
                <w:numId w:val="10"/>
              </w:numPr>
            </w:pPr>
            <w:r w:rsidRPr="00A07A71">
              <w:t xml:space="preserve">Act as a role model to all team members in the delivery of a high standard of care in a specialist palliative care unit.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BF1E4F" w:rsidP="007E7E46">
            <w:pPr>
              <w:widowControl/>
              <w:numPr>
                <w:ilvl w:val="0"/>
                <w:numId w:val="11"/>
              </w:numPr>
              <w:overflowPunct w:val="0"/>
              <w:adjustRightInd w:val="0"/>
              <w:textAlignment w:val="baseline"/>
              <w:rPr>
                <w:szCs w:val="24"/>
              </w:rPr>
            </w:pPr>
            <w:r>
              <w:rPr>
                <w:szCs w:val="24"/>
              </w:rPr>
              <w:t>Organise own time and</w:t>
            </w:r>
            <w:r w:rsidR="007E7E46" w:rsidRPr="00B47C29">
              <w:rPr>
                <w:szCs w:val="24"/>
              </w:rPr>
              <w:t xml:space="preserve">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C5F8D">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A07A71" w:rsidRDefault="00BA0FA6" w:rsidP="00F7125F">
            <w:pPr>
              <w:pStyle w:val="TableParagraph"/>
              <w:ind w:left="107" w:firstLine="0"/>
              <w:rPr>
                <w:sz w:val="24"/>
                <w:szCs w:val="24"/>
              </w:rPr>
            </w:pPr>
            <w:r w:rsidRPr="00A07A71">
              <w:rPr>
                <w:sz w:val="24"/>
                <w:szCs w:val="24"/>
              </w:rPr>
              <w:t>St</w:t>
            </w:r>
            <w:r w:rsidRPr="00A07A71">
              <w:rPr>
                <w:spacing w:val="-6"/>
                <w:sz w:val="24"/>
                <w:szCs w:val="24"/>
              </w:rPr>
              <w:t xml:space="preserve"> </w:t>
            </w:r>
            <w:r w:rsidRPr="00A07A71">
              <w:rPr>
                <w:sz w:val="24"/>
                <w:szCs w:val="24"/>
              </w:rPr>
              <w:t>Vincent’s</w:t>
            </w:r>
            <w:r w:rsidRPr="00A07A71">
              <w:rPr>
                <w:spacing w:val="-10"/>
                <w:sz w:val="24"/>
                <w:szCs w:val="24"/>
              </w:rPr>
              <w:t xml:space="preserve"> </w:t>
            </w:r>
            <w:r w:rsidRPr="00A07A71">
              <w:rPr>
                <w:sz w:val="24"/>
                <w:szCs w:val="24"/>
              </w:rPr>
              <w:t>hospice</w:t>
            </w:r>
            <w:r w:rsidRPr="00A07A71">
              <w:rPr>
                <w:spacing w:val="-10"/>
                <w:sz w:val="24"/>
                <w:szCs w:val="24"/>
              </w:rPr>
              <w:t xml:space="preserve"> </w:t>
            </w:r>
            <w:r w:rsidRPr="00A07A71">
              <w:rPr>
                <w:sz w:val="24"/>
                <w:szCs w:val="24"/>
              </w:rPr>
              <w:t>is</w:t>
            </w:r>
            <w:r w:rsidRPr="00A07A71">
              <w:rPr>
                <w:spacing w:val="-7"/>
                <w:sz w:val="24"/>
                <w:szCs w:val="24"/>
              </w:rPr>
              <w:t xml:space="preserve"> </w:t>
            </w:r>
            <w:r w:rsidRPr="00A07A71">
              <w:rPr>
                <w:sz w:val="24"/>
                <w:szCs w:val="24"/>
              </w:rPr>
              <w:t>a</w:t>
            </w:r>
            <w:r w:rsidRPr="00A07A71">
              <w:rPr>
                <w:spacing w:val="-12"/>
                <w:sz w:val="24"/>
                <w:szCs w:val="24"/>
              </w:rPr>
              <w:t xml:space="preserve"> </w:t>
            </w:r>
            <w:r w:rsidRPr="00A07A71">
              <w:rPr>
                <w:sz w:val="24"/>
                <w:szCs w:val="24"/>
              </w:rPr>
              <w:t>charitable</w:t>
            </w:r>
            <w:r w:rsidRPr="00A07A71">
              <w:rPr>
                <w:spacing w:val="-8"/>
                <w:sz w:val="24"/>
                <w:szCs w:val="24"/>
              </w:rPr>
              <w:t xml:space="preserve"> </w:t>
            </w:r>
            <w:r w:rsidRPr="00A07A71">
              <w:rPr>
                <w:sz w:val="24"/>
                <w:szCs w:val="24"/>
              </w:rPr>
              <w:t>organisation</w:t>
            </w:r>
            <w:r w:rsidRPr="00A07A71">
              <w:rPr>
                <w:spacing w:val="-10"/>
                <w:sz w:val="24"/>
                <w:szCs w:val="24"/>
              </w:rPr>
              <w:t xml:space="preserve"> </w:t>
            </w:r>
            <w:r w:rsidRPr="00A07A71">
              <w:rPr>
                <w:sz w:val="24"/>
                <w:szCs w:val="24"/>
              </w:rPr>
              <w:t>at</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heart</w:t>
            </w:r>
            <w:r w:rsidRPr="00A07A71">
              <w:rPr>
                <w:spacing w:val="-8"/>
                <w:sz w:val="24"/>
                <w:szCs w:val="24"/>
              </w:rPr>
              <w:t xml:space="preserve"> </w:t>
            </w:r>
            <w:r w:rsidRPr="00A07A71">
              <w:rPr>
                <w:sz w:val="24"/>
                <w:szCs w:val="24"/>
              </w:rPr>
              <w:t>of</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community,</w:t>
            </w:r>
            <w:r w:rsidRPr="00A07A71">
              <w:rPr>
                <w:spacing w:val="-6"/>
                <w:sz w:val="24"/>
                <w:szCs w:val="24"/>
              </w:rPr>
              <w:t xml:space="preserve"> </w:t>
            </w:r>
            <w:r w:rsidRPr="00A07A71">
              <w:rPr>
                <w:sz w:val="24"/>
                <w:szCs w:val="24"/>
              </w:rPr>
              <w:t>offering</w:t>
            </w:r>
            <w:r w:rsidRPr="00A07A71">
              <w:rPr>
                <w:spacing w:val="-8"/>
                <w:sz w:val="24"/>
                <w:szCs w:val="24"/>
              </w:rPr>
              <w:t xml:space="preserve"> </w:t>
            </w:r>
            <w:r w:rsidRPr="00A07A71">
              <w:rPr>
                <w:sz w:val="24"/>
                <w:szCs w:val="24"/>
              </w:rPr>
              <w:t>specialist</w:t>
            </w:r>
            <w:r w:rsidRPr="00A07A71">
              <w:rPr>
                <w:spacing w:val="-6"/>
                <w:sz w:val="24"/>
                <w:szCs w:val="24"/>
              </w:rPr>
              <w:t xml:space="preserve"> </w:t>
            </w:r>
            <w:r w:rsidRPr="00A07A71">
              <w:rPr>
                <w:sz w:val="24"/>
                <w:szCs w:val="24"/>
              </w:rPr>
              <w:t>care</w:t>
            </w:r>
            <w:r w:rsidRPr="00A07A71">
              <w:rPr>
                <w:spacing w:val="-8"/>
                <w:sz w:val="24"/>
                <w:szCs w:val="24"/>
              </w:rPr>
              <w:t xml:space="preserve"> </w:t>
            </w:r>
            <w:r w:rsidRPr="00A07A71">
              <w:rPr>
                <w:sz w:val="24"/>
                <w:szCs w:val="24"/>
              </w:rPr>
              <w:t>and services to all those affected by life limiting</w:t>
            </w:r>
            <w:r w:rsidRPr="00A07A71">
              <w:rPr>
                <w:spacing w:val="-7"/>
                <w:sz w:val="24"/>
                <w:szCs w:val="24"/>
              </w:rPr>
              <w:t xml:space="preserve"> </w:t>
            </w:r>
            <w:r w:rsidRPr="00A07A71">
              <w:rPr>
                <w:sz w:val="24"/>
                <w:szCs w:val="24"/>
              </w:rPr>
              <w:t>illness.</w:t>
            </w:r>
          </w:p>
          <w:p w:rsidR="00BA0FA6" w:rsidRPr="00A07A71" w:rsidRDefault="00BA0FA6" w:rsidP="00F7125F">
            <w:pPr>
              <w:pStyle w:val="TableParagraph"/>
              <w:ind w:left="0" w:firstLine="0"/>
              <w:rPr>
                <w:b/>
                <w:sz w:val="24"/>
                <w:szCs w:val="24"/>
              </w:rPr>
            </w:pPr>
          </w:p>
          <w:p w:rsidR="00BA0FA6" w:rsidRPr="00A07A71" w:rsidRDefault="00BA0FA6" w:rsidP="00F7125F">
            <w:pPr>
              <w:pStyle w:val="TableParagraph"/>
              <w:ind w:left="107" w:firstLine="0"/>
              <w:rPr>
                <w:sz w:val="24"/>
                <w:szCs w:val="24"/>
              </w:rPr>
            </w:pPr>
            <w:r w:rsidRPr="00A07A71">
              <w:rPr>
                <w:sz w:val="24"/>
                <w:szCs w:val="24"/>
              </w:rPr>
              <w:t xml:space="preserve">Care for all is at the heart of everything we do. </w:t>
            </w:r>
          </w:p>
          <w:p w:rsidR="00BA0FA6" w:rsidRPr="00A07A71" w:rsidRDefault="00BA0FA6" w:rsidP="00F7125F">
            <w:pPr>
              <w:pStyle w:val="TableParagraph"/>
              <w:ind w:left="107" w:firstLine="0"/>
              <w:rPr>
                <w:sz w:val="24"/>
                <w:szCs w:val="24"/>
              </w:rPr>
            </w:pPr>
          </w:p>
          <w:p w:rsidR="00BA0FA6" w:rsidRPr="00A07A71" w:rsidRDefault="00BA0FA6" w:rsidP="00F7125F">
            <w:pPr>
              <w:pStyle w:val="TableParagraph"/>
              <w:ind w:left="107" w:firstLine="0"/>
              <w:rPr>
                <w:sz w:val="24"/>
                <w:szCs w:val="24"/>
              </w:rPr>
            </w:pPr>
            <w:r w:rsidRPr="00A07A71">
              <w:rPr>
                <w:sz w:val="24"/>
                <w:szCs w:val="24"/>
              </w:rPr>
              <w:t>We will achieve this by being passionate about:</w:t>
            </w:r>
          </w:p>
          <w:p w:rsidR="00BA0FA6" w:rsidRPr="00A07A71" w:rsidRDefault="00BA0FA6" w:rsidP="00F7125F">
            <w:pPr>
              <w:pStyle w:val="TableParagraph"/>
              <w:ind w:left="107" w:firstLine="0"/>
              <w:rPr>
                <w:sz w:val="24"/>
                <w:szCs w:val="24"/>
              </w:rPr>
            </w:pPr>
          </w:p>
          <w:p w:rsidR="00BA0FA6" w:rsidRDefault="00BA0FA6" w:rsidP="00F7125F">
            <w:pPr>
              <w:pStyle w:val="TableParagraph"/>
              <w:ind w:left="107" w:right="99" w:firstLine="0"/>
              <w:rPr>
                <w:sz w:val="24"/>
                <w:szCs w:val="24"/>
              </w:rPr>
            </w:pPr>
            <w:r w:rsidRPr="00A07A71">
              <w:rPr>
                <w:sz w:val="24"/>
                <w:szCs w:val="24"/>
              </w:rPr>
              <w:t>Delivering</w:t>
            </w:r>
            <w:r w:rsidRPr="00A07A71">
              <w:rPr>
                <w:spacing w:val="-7"/>
                <w:sz w:val="24"/>
                <w:szCs w:val="24"/>
              </w:rPr>
              <w:t xml:space="preserve"> </w:t>
            </w:r>
            <w:r w:rsidRPr="00A07A71">
              <w:rPr>
                <w:sz w:val="24"/>
                <w:szCs w:val="24"/>
              </w:rPr>
              <w:t>high</w:t>
            </w:r>
            <w:r w:rsidRPr="00A07A71">
              <w:rPr>
                <w:spacing w:val="-14"/>
                <w:sz w:val="24"/>
                <w:szCs w:val="24"/>
              </w:rPr>
              <w:t xml:space="preserve"> </w:t>
            </w:r>
            <w:r w:rsidRPr="00A07A71">
              <w:rPr>
                <w:sz w:val="24"/>
                <w:szCs w:val="24"/>
              </w:rPr>
              <w:t>quality</w:t>
            </w:r>
            <w:r w:rsidRPr="00A07A71">
              <w:rPr>
                <w:spacing w:val="-11"/>
                <w:sz w:val="24"/>
                <w:szCs w:val="24"/>
              </w:rPr>
              <w:t xml:space="preserve"> </w:t>
            </w:r>
            <w:r w:rsidRPr="00A07A71">
              <w:rPr>
                <w:sz w:val="24"/>
                <w:szCs w:val="24"/>
              </w:rPr>
              <w:t>palliative</w:t>
            </w:r>
            <w:r w:rsidRPr="00A07A71">
              <w:rPr>
                <w:spacing w:val="-9"/>
                <w:sz w:val="24"/>
                <w:szCs w:val="24"/>
              </w:rPr>
              <w:t xml:space="preserve"> </w:t>
            </w:r>
            <w:r w:rsidRPr="00A07A71">
              <w:rPr>
                <w:sz w:val="24"/>
                <w:szCs w:val="24"/>
              </w:rPr>
              <w:t>care</w:t>
            </w:r>
            <w:r w:rsidRPr="00A07A71">
              <w:rPr>
                <w:spacing w:val="-8"/>
                <w:sz w:val="24"/>
                <w:szCs w:val="24"/>
              </w:rPr>
              <w:t xml:space="preserve"> </w:t>
            </w:r>
            <w:r w:rsidRPr="00A07A71">
              <w:rPr>
                <w:sz w:val="24"/>
                <w:szCs w:val="24"/>
              </w:rPr>
              <w:t>and</w:t>
            </w:r>
            <w:r w:rsidRPr="00A07A71">
              <w:rPr>
                <w:spacing w:val="-9"/>
                <w:sz w:val="24"/>
                <w:szCs w:val="24"/>
              </w:rPr>
              <w:t xml:space="preserve"> </w:t>
            </w:r>
            <w:r w:rsidRPr="00A07A71">
              <w:rPr>
                <w:sz w:val="24"/>
                <w:szCs w:val="24"/>
              </w:rPr>
              <w:t>support;</w:t>
            </w:r>
            <w:r w:rsidRPr="00A07A71">
              <w:rPr>
                <w:spacing w:val="-12"/>
                <w:sz w:val="24"/>
                <w:szCs w:val="24"/>
              </w:rPr>
              <w:t xml:space="preserve"> </w:t>
            </w:r>
            <w:r w:rsidRPr="00A07A71">
              <w:rPr>
                <w:sz w:val="24"/>
                <w:szCs w:val="24"/>
              </w:rPr>
              <w:t>Working</w:t>
            </w:r>
            <w:r w:rsidRPr="00A07A71">
              <w:rPr>
                <w:spacing w:val="-7"/>
                <w:sz w:val="24"/>
                <w:szCs w:val="24"/>
              </w:rPr>
              <w:t xml:space="preserve"> </w:t>
            </w:r>
            <w:r w:rsidRPr="00A07A71">
              <w:rPr>
                <w:sz w:val="24"/>
                <w:szCs w:val="24"/>
              </w:rPr>
              <w:t>with</w:t>
            </w:r>
            <w:r w:rsidRPr="00A07A71">
              <w:rPr>
                <w:spacing w:val="-9"/>
                <w:sz w:val="24"/>
                <w:szCs w:val="24"/>
              </w:rPr>
              <w:t xml:space="preserve"> </w:t>
            </w:r>
            <w:r w:rsidRPr="00A07A71">
              <w:rPr>
                <w:sz w:val="24"/>
                <w:szCs w:val="24"/>
              </w:rPr>
              <w:t>patients,</w:t>
            </w:r>
            <w:r w:rsidRPr="00A07A71">
              <w:rPr>
                <w:spacing w:val="-10"/>
                <w:sz w:val="24"/>
                <w:szCs w:val="24"/>
              </w:rPr>
              <w:t xml:space="preserve"> </w:t>
            </w:r>
            <w:r w:rsidRPr="00A07A71">
              <w:rPr>
                <w:sz w:val="24"/>
                <w:szCs w:val="24"/>
              </w:rPr>
              <w:t>families</w:t>
            </w:r>
            <w:r w:rsidRPr="00A07A71">
              <w:rPr>
                <w:spacing w:val="-9"/>
                <w:sz w:val="24"/>
                <w:szCs w:val="24"/>
              </w:rPr>
              <w:t xml:space="preserve"> </w:t>
            </w:r>
            <w:r w:rsidRPr="00A07A71">
              <w:rPr>
                <w:sz w:val="24"/>
                <w:szCs w:val="24"/>
              </w:rPr>
              <w:t>and</w:t>
            </w:r>
            <w:r w:rsidRPr="00A07A71">
              <w:rPr>
                <w:spacing w:val="-9"/>
                <w:sz w:val="24"/>
                <w:szCs w:val="24"/>
              </w:rPr>
              <w:t xml:space="preserve"> </w:t>
            </w:r>
            <w:r w:rsidRPr="00A07A71">
              <w:rPr>
                <w:sz w:val="24"/>
                <w:szCs w:val="24"/>
              </w:rPr>
              <w:t>those</w:t>
            </w:r>
            <w:r w:rsidRPr="00A07A71">
              <w:rPr>
                <w:spacing w:val="-9"/>
                <w:sz w:val="24"/>
                <w:szCs w:val="24"/>
              </w:rPr>
              <w:t xml:space="preserve"> </w:t>
            </w:r>
            <w:r w:rsidRPr="00A07A71">
              <w:rPr>
                <w:sz w:val="24"/>
                <w:szCs w:val="24"/>
              </w:rPr>
              <w:t>closet</w:t>
            </w:r>
            <w:r w:rsidRPr="00A07A71">
              <w:rPr>
                <w:spacing w:val="-8"/>
                <w:sz w:val="24"/>
                <w:szCs w:val="24"/>
              </w:rPr>
              <w:t xml:space="preserve"> </w:t>
            </w:r>
            <w:r w:rsidRPr="00A07A71">
              <w:rPr>
                <w:sz w:val="24"/>
                <w:szCs w:val="24"/>
              </w:rPr>
              <w:t>to</w:t>
            </w:r>
            <w:r w:rsidRPr="00A07A71">
              <w:rPr>
                <w:spacing w:val="-11"/>
                <w:sz w:val="24"/>
                <w:szCs w:val="24"/>
              </w:rPr>
              <w:t xml:space="preserve"> </w:t>
            </w:r>
            <w:r w:rsidRPr="00A07A71">
              <w:rPr>
                <w:sz w:val="24"/>
                <w:szCs w:val="24"/>
              </w:rPr>
              <w:t>them to ensure that care is right for everyone, every time; Having appropriately skilled teams who are able to work</w:t>
            </w:r>
            <w:r w:rsidRPr="00A07A71">
              <w:rPr>
                <w:spacing w:val="-4"/>
                <w:sz w:val="24"/>
                <w:szCs w:val="24"/>
              </w:rPr>
              <w:t xml:space="preserve"> </w:t>
            </w:r>
            <w:r w:rsidRPr="00A07A71">
              <w:rPr>
                <w:sz w:val="24"/>
                <w:szCs w:val="24"/>
              </w:rPr>
              <w:t>in</w:t>
            </w:r>
            <w:r w:rsidRPr="00A07A71">
              <w:rPr>
                <w:spacing w:val="-7"/>
                <w:sz w:val="24"/>
                <w:szCs w:val="24"/>
              </w:rPr>
              <w:t xml:space="preserve"> </w:t>
            </w:r>
            <w:r w:rsidRPr="00A07A71">
              <w:rPr>
                <w:sz w:val="24"/>
                <w:szCs w:val="24"/>
              </w:rPr>
              <w:t>home,</w:t>
            </w:r>
            <w:r w:rsidRPr="00A07A71">
              <w:rPr>
                <w:spacing w:val="-8"/>
                <w:sz w:val="24"/>
                <w:szCs w:val="24"/>
              </w:rPr>
              <w:t xml:space="preserve"> </w:t>
            </w:r>
            <w:r w:rsidRPr="00A07A71">
              <w:rPr>
                <w:sz w:val="24"/>
                <w:szCs w:val="24"/>
              </w:rPr>
              <w:t>hospice</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other</w:t>
            </w:r>
            <w:r w:rsidRPr="00A07A71">
              <w:rPr>
                <w:spacing w:val="-6"/>
                <w:sz w:val="24"/>
                <w:szCs w:val="24"/>
              </w:rPr>
              <w:t xml:space="preserve"> </w:t>
            </w:r>
            <w:r w:rsidRPr="00A07A71">
              <w:rPr>
                <w:sz w:val="24"/>
                <w:szCs w:val="24"/>
              </w:rPr>
              <w:t>settings;</w:t>
            </w:r>
            <w:r w:rsidRPr="00A07A71">
              <w:rPr>
                <w:spacing w:val="-6"/>
                <w:sz w:val="24"/>
                <w:szCs w:val="24"/>
              </w:rPr>
              <w:t xml:space="preserve"> </w:t>
            </w:r>
            <w:r w:rsidRPr="00A07A71">
              <w:rPr>
                <w:sz w:val="24"/>
                <w:szCs w:val="24"/>
              </w:rPr>
              <w:t>Ensuring</w:t>
            </w:r>
            <w:r w:rsidRPr="00A07A71">
              <w:rPr>
                <w:spacing w:val="-5"/>
                <w:sz w:val="24"/>
                <w:szCs w:val="24"/>
              </w:rPr>
              <w:t xml:space="preserve"> </w:t>
            </w:r>
            <w:r w:rsidRPr="00A07A71">
              <w:rPr>
                <w:sz w:val="24"/>
                <w:szCs w:val="24"/>
              </w:rPr>
              <w:t>we</w:t>
            </w:r>
            <w:r w:rsidRPr="00A07A71">
              <w:rPr>
                <w:spacing w:val="-7"/>
                <w:sz w:val="24"/>
                <w:szCs w:val="24"/>
              </w:rPr>
              <w:t xml:space="preserve"> </w:t>
            </w:r>
            <w:r w:rsidRPr="00A07A71">
              <w:rPr>
                <w:sz w:val="24"/>
                <w:szCs w:val="24"/>
              </w:rPr>
              <w:t>have</w:t>
            </w:r>
            <w:r w:rsidRPr="00A07A71">
              <w:rPr>
                <w:spacing w:val="-7"/>
                <w:sz w:val="24"/>
                <w:szCs w:val="24"/>
              </w:rPr>
              <w:t xml:space="preserve"> </w:t>
            </w:r>
            <w:r w:rsidRPr="00A07A71">
              <w:rPr>
                <w:sz w:val="24"/>
                <w:szCs w:val="24"/>
              </w:rPr>
              <w:t>the</w:t>
            </w:r>
            <w:r w:rsidRPr="00A07A71">
              <w:rPr>
                <w:spacing w:val="-7"/>
                <w:sz w:val="24"/>
                <w:szCs w:val="24"/>
              </w:rPr>
              <w:t xml:space="preserve"> </w:t>
            </w:r>
            <w:r w:rsidRPr="00A07A71">
              <w:rPr>
                <w:sz w:val="24"/>
                <w:szCs w:val="24"/>
              </w:rPr>
              <w:t>necessary</w:t>
            </w:r>
            <w:r w:rsidRPr="00A07A71">
              <w:rPr>
                <w:spacing w:val="-8"/>
                <w:sz w:val="24"/>
                <w:szCs w:val="24"/>
              </w:rPr>
              <w:t xml:space="preserve"> </w:t>
            </w:r>
            <w:r w:rsidRPr="00A07A71">
              <w:rPr>
                <w:sz w:val="24"/>
                <w:szCs w:val="24"/>
              </w:rPr>
              <w:t>funds</w:t>
            </w:r>
            <w:r w:rsidRPr="00A07A71">
              <w:rPr>
                <w:spacing w:val="-9"/>
                <w:sz w:val="24"/>
                <w:szCs w:val="24"/>
              </w:rPr>
              <w:t xml:space="preserve"> </w:t>
            </w:r>
            <w:r w:rsidRPr="00A07A71">
              <w:rPr>
                <w:sz w:val="24"/>
                <w:szCs w:val="24"/>
              </w:rPr>
              <w:t>to</w:t>
            </w:r>
            <w:r w:rsidRPr="00A07A71">
              <w:rPr>
                <w:spacing w:val="-9"/>
                <w:sz w:val="24"/>
                <w:szCs w:val="24"/>
              </w:rPr>
              <w:t xml:space="preserve"> </w:t>
            </w:r>
            <w:r w:rsidRPr="00A07A71">
              <w:rPr>
                <w:sz w:val="24"/>
                <w:szCs w:val="24"/>
              </w:rPr>
              <w:t>maintain</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develop services; Using our influence and expertise to shape the development of palliative care locally and nationally.</w:t>
            </w:r>
          </w:p>
          <w:p w:rsidR="00BF1E4F" w:rsidRDefault="00BF1E4F" w:rsidP="00F7125F">
            <w:pPr>
              <w:pStyle w:val="TableParagraph"/>
              <w:ind w:left="107" w:right="99" w:firstLine="0"/>
              <w:rPr>
                <w:sz w:val="24"/>
                <w:szCs w:val="24"/>
              </w:rPr>
            </w:pPr>
          </w:p>
          <w:p w:rsidR="00BF1E4F" w:rsidRPr="00A07A71" w:rsidRDefault="00BF1E4F" w:rsidP="00F7125F">
            <w:pPr>
              <w:pStyle w:val="TableParagraph"/>
              <w:ind w:left="107" w:right="99" w:firstLine="0"/>
              <w:rPr>
                <w:sz w:val="24"/>
                <w:szCs w:val="24"/>
              </w:rPr>
            </w:pP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The Inpatient Unit provides specialist palliative care to patients with life limiting illnesses, including symptom management, psychological support and end of life care.  </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The unit also provides support to families and carers.</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Inpatient Unit Staff liaise closely with the multidisciplinary </w:t>
            </w:r>
            <w:r w:rsidR="00BF1E4F">
              <w:rPr>
                <w:b w:val="0"/>
                <w:sz w:val="24"/>
                <w:szCs w:val="24"/>
              </w:rPr>
              <w:t>team within the hospice and</w:t>
            </w:r>
            <w:r w:rsidRPr="00B1732E">
              <w:rPr>
                <w:b w:val="0"/>
                <w:sz w:val="24"/>
                <w:szCs w:val="24"/>
              </w:rPr>
              <w:t xml:space="preserve"> with other hospices, hospitals or community staff when appropriate. </w:t>
            </w:r>
          </w:p>
          <w:p w:rsidR="00B1732E" w:rsidRPr="00B1732E" w:rsidRDefault="00B1732E" w:rsidP="00B1732E">
            <w:pPr>
              <w:widowControl/>
              <w:numPr>
                <w:ilvl w:val="0"/>
                <w:numId w:val="12"/>
              </w:numPr>
              <w:overflowPunct w:val="0"/>
              <w:adjustRightInd w:val="0"/>
              <w:textAlignment w:val="baseline"/>
              <w:rPr>
                <w:szCs w:val="24"/>
              </w:rPr>
            </w:pPr>
            <w:r w:rsidRPr="00B1732E">
              <w:rPr>
                <w:szCs w:val="24"/>
              </w:rPr>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lastRenderedPageBreak/>
              <w:br w:type="page"/>
            </w:r>
            <w:r w:rsidR="00CD7CE2" w:rsidRPr="00CD7CE2">
              <w:rPr>
                <w:sz w:val="22"/>
                <w:szCs w:val="22"/>
              </w:rPr>
              <w:t>MAIN TASKS, DUTIES AND RESPONSIBILITIES</w:t>
            </w:r>
          </w:p>
        </w:tc>
      </w:tr>
      <w:tr w:rsidR="00AE6604" w:rsidRPr="00BA0FA6" w:rsidTr="00BF1E4F">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w:t>
            </w:r>
            <w:r w:rsidR="006F7C5A">
              <w:rPr>
                <w:szCs w:val="24"/>
              </w:rPr>
              <w:t>/electronic</w:t>
            </w:r>
            <w:r w:rsidRPr="00AE427D">
              <w:rPr>
                <w:szCs w:val="24"/>
              </w:rPr>
              <w:t xml:space="preserve">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 xml:space="preserve">Participates in the identification of risk and risk management strategies, incorporating these, through nurse management, to the risk register and ensures that risks to patients are identified </w:t>
            </w:r>
            <w:r w:rsidR="00BF1E4F" w:rsidRPr="00AE427D">
              <w:rPr>
                <w:szCs w:val="24"/>
              </w:rPr>
              <w:t>with</w:t>
            </w:r>
            <w:r w:rsidRPr="00AE427D">
              <w:rPr>
                <w:szCs w:val="24"/>
              </w:rPr>
              <w:t xml:space="preserve">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6F7C5A" w:rsidRPr="00AE427D" w:rsidRDefault="006F7C5A" w:rsidP="00B1732E">
            <w:pPr>
              <w:widowControl/>
              <w:numPr>
                <w:ilvl w:val="0"/>
                <w:numId w:val="13"/>
              </w:numPr>
              <w:autoSpaceDE/>
              <w:autoSpaceDN/>
              <w:rPr>
                <w:szCs w:val="24"/>
              </w:rPr>
            </w:pPr>
            <w:r>
              <w:rPr>
                <w:szCs w:val="24"/>
              </w:rPr>
              <w:t xml:space="preserve">Participates in </w:t>
            </w:r>
            <w:r w:rsidR="00C60125">
              <w:rPr>
                <w:szCs w:val="24"/>
              </w:rPr>
              <w:t>on call/</w:t>
            </w:r>
            <w:r>
              <w:rPr>
                <w:szCs w:val="24"/>
              </w:rPr>
              <w:t>standby system for the In-Patient Unit.</w:t>
            </w:r>
          </w:p>
          <w:p w:rsidR="00B1732E" w:rsidRPr="00AE427D" w:rsidRDefault="00B1732E" w:rsidP="00B1732E"/>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r w:rsidRPr="00B105EE">
              <w:rPr>
                <w:szCs w:val="24"/>
              </w:rPr>
              <w:t xml:space="preserve">Arjo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6B4B2C">
            <w:pPr>
              <w:pStyle w:val="ListParagraph"/>
              <w:widowControl/>
              <w:numPr>
                <w:ilvl w:val="0"/>
                <w:numId w:val="14"/>
              </w:numPr>
              <w:autoSpaceDE/>
              <w:autoSpaceDN/>
              <w:ind w:right="74"/>
              <w:contextualSpacing/>
            </w:pPr>
            <w:r w:rsidRPr="006B4B2C">
              <w:rPr>
                <w:szCs w:val="24"/>
              </w:rPr>
              <w:t>Movement of oxygen concentrators and enteral feeding systems</w:t>
            </w:r>
            <w:r w:rsidRPr="00B105EE">
              <w:t>.</w:t>
            </w:r>
            <w:r w:rsidRPr="009B24FC">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t>8.    (b) SYSTEMS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sidR="006F7C5A">
              <w:rPr>
                <w:szCs w:val="24"/>
              </w:rPr>
              <w:t xml:space="preserve"> by the In-Patient Unit Manager</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DECISIONS AND JUDGEMENTS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MOST CHALLENGING/DIFFICULT PARTS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BF1E4F">
        <w:tc>
          <w:tcPr>
            <w:tcW w:w="9064" w:type="dxa"/>
            <w:gridSpan w:val="2"/>
            <w:tcBorders>
              <w:top w:val="single" w:sz="4" w:space="0" w:color="auto"/>
              <w:bottom w:val="single" w:sz="4" w:space="0" w:color="auto"/>
            </w:tcBorders>
          </w:tcPr>
          <w:p w:rsidR="006B4B2C" w:rsidRPr="00BA0FA6" w:rsidRDefault="006B4B2C"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COMMUNICATIONS AND RELATIONSHIPS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left="360" w:right="2"/>
              <w:rPr>
                <w:sz w:val="22"/>
                <w:szCs w:val="22"/>
              </w:rPr>
            </w:pP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PHYSICAL, MENTAL, EMOTIONAL AND ENVIRONMENTAL DEMANDS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KNOWLEDGE, TRAINING AND EXPERIENCE REQUIRED TO DO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LearnPro)</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73EBE" w:rsidRPr="00270AE8" w:rsidRDefault="00F73EBE" w:rsidP="00F73EBE">
            <w:pPr>
              <w:widowControl/>
              <w:overflowPunct w:val="0"/>
              <w:adjustRightInd w:val="0"/>
              <w:ind w:left="720"/>
              <w:textAlignment w:val="baseline"/>
              <w:rPr>
                <w:szCs w:val="24"/>
              </w:rPr>
            </w:pPr>
          </w:p>
          <w:p w:rsidR="00F31778" w:rsidRDefault="00F73EBE" w:rsidP="00E969BA">
            <w:pPr>
              <w:widowControl/>
              <w:autoSpaceDE/>
              <w:autoSpaceDN/>
              <w:ind w:left="360"/>
            </w:pPr>
            <w:r>
              <w:t>It is an essential requirement that the post holder provide proof of right to work in the UK prior to taking up the post.</w:t>
            </w:r>
          </w:p>
        </w:tc>
      </w:tr>
      <w:tr w:rsidR="00F31778" w:rsidRPr="00BA0FA6" w:rsidTr="00BF1E4F">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BF1E4F">
            <w:pPr>
              <w:pStyle w:val="BodyText"/>
              <w:numPr>
                <w:ilvl w:val="0"/>
                <w:numId w:val="23"/>
              </w:numPr>
              <w:spacing w:before="0"/>
              <w:ind w:right="2"/>
              <w:rPr>
                <w:sz w:val="22"/>
                <w:szCs w:val="22"/>
              </w:rPr>
            </w:pPr>
            <w:r w:rsidRPr="00BA0FA6">
              <w:rPr>
                <w:sz w:val="22"/>
                <w:szCs w:val="22"/>
              </w:rPr>
              <w:t>JOB DESCRIPTION AGREEMENT</w:t>
            </w:r>
          </w:p>
        </w:tc>
      </w:tr>
      <w:tr w:rsidR="00F31778" w:rsidRPr="00BA0FA6" w:rsidTr="00BF1E4F">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BF1E4F">
        <w:tc>
          <w:tcPr>
            <w:tcW w:w="9064" w:type="dxa"/>
            <w:gridSpan w:val="2"/>
            <w:tcBorders>
              <w:top w:val="single" w:sz="4" w:space="0" w:color="auto"/>
              <w:bottom w:val="single" w:sz="4" w:space="0" w:color="auto"/>
            </w:tcBorders>
          </w:tcPr>
          <w:p w:rsidR="006B4B2C" w:rsidRPr="00BA0FA6" w:rsidRDefault="006B4B2C" w:rsidP="00F31778">
            <w:pPr>
              <w:pStyle w:val="BodyText"/>
              <w:spacing w:before="0"/>
              <w:ind w:left="360" w:right="2"/>
              <w:rPr>
                <w:sz w:val="22"/>
                <w:szCs w:val="22"/>
              </w:rPr>
            </w:pPr>
          </w:p>
        </w:tc>
      </w:tr>
      <w:tr w:rsidR="00F31778" w:rsidRPr="00BA0FA6" w:rsidTr="00BF1E4F">
        <w:tc>
          <w:tcPr>
            <w:tcW w:w="6407" w:type="dxa"/>
            <w:tcBorders>
              <w:top w:val="single" w:sz="4" w:space="0" w:color="auto"/>
              <w:left w:val="single" w:sz="4" w:space="0" w:color="auto"/>
            </w:tcBorders>
          </w:tcPr>
          <w:p w:rsidR="00F31778" w:rsidRPr="00BA0FA6" w:rsidRDefault="00F31778" w:rsidP="00F31778">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r w:rsidRPr="00BA0FA6">
              <w:t>Job Holder’s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8E382A" w:rsidRDefault="00F31778" w:rsidP="00F31778">
            <w:pPr>
              <w:pStyle w:val="BodyText"/>
              <w:spacing w:before="0"/>
              <w:ind w:left="360" w:right="2"/>
              <w:rPr>
                <w:b w:val="0"/>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rsidTr="00BF1E4F">
        <w:tc>
          <w:tcPr>
            <w:tcW w:w="6407" w:type="dxa"/>
            <w:tcBorders>
              <w:left w:val="single" w:sz="4" w:space="0" w:color="auto"/>
              <w:bottom w:val="single" w:sz="4" w:space="0" w:color="auto"/>
            </w:tcBorders>
          </w:tcPr>
          <w:p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sectPr w:rsidR="008E382A" w:rsidSect="00F66949">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84" w:right="1418" w:bottom="62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17" w:rsidRDefault="00512917" w:rsidP="005E09A2">
      <w:r>
        <w:separator/>
      </w:r>
    </w:p>
  </w:endnote>
  <w:endnote w:type="continuationSeparator" w:id="0">
    <w:p w:rsidR="00512917" w:rsidRDefault="00512917"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481507">
              <w:rPr>
                <w:b/>
                <w:bCs/>
                <w:noProof/>
                <w:sz w:val="18"/>
                <w:szCs w:val="18"/>
              </w:rPr>
              <w:t>1</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481507">
              <w:rPr>
                <w:b/>
                <w:bCs/>
                <w:noProof/>
                <w:sz w:val="18"/>
                <w:szCs w:val="18"/>
              </w:rPr>
              <w:t>5</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17" w:rsidRDefault="00512917" w:rsidP="005E09A2">
      <w:r>
        <w:separator/>
      </w:r>
    </w:p>
  </w:footnote>
  <w:footnote w:type="continuationSeparator" w:id="0">
    <w:p w:rsidR="00512917" w:rsidRDefault="00512917"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7"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15436"/>
    <w:multiLevelType w:val="hybridMultilevel"/>
    <w:tmpl w:val="C090DCB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1511EC"/>
    <w:multiLevelType w:val="hybridMultilevel"/>
    <w:tmpl w:val="361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2"/>
  </w:num>
  <w:num w:numId="5">
    <w:abstractNumId w:val="19"/>
  </w:num>
  <w:num w:numId="6">
    <w:abstractNumId w:val="9"/>
  </w:num>
  <w:num w:numId="7">
    <w:abstractNumId w:val="4"/>
  </w:num>
  <w:num w:numId="8">
    <w:abstractNumId w:val="13"/>
  </w:num>
  <w:num w:numId="9">
    <w:abstractNumId w:val="21"/>
  </w:num>
  <w:num w:numId="10">
    <w:abstractNumId w:val="17"/>
  </w:num>
  <w:num w:numId="11">
    <w:abstractNumId w:val="7"/>
  </w:num>
  <w:num w:numId="12">
    <w:abstractNumId w:val="2"/>
  </w:num>
  <w:num w:numId="13">
    <w:abstractNumId w:val="8"/>
  </w:num>
  <w:num w:numId="14">
    <w:abstractNumId w:val="22"/>
  </w:num>
  <w:num w:numId="15">
    <w:abstractNumId w:val="0"/>
  </w:num>
  <w:num w:numId="16">
    <w:abstractNumId w:val="1"/>
  </w:num>
  <w:num w:numId="17">
    <w:abstractNumId w:val="10"/>
  </w:num>
  <w:num w:numId="18">
    <w:abstractNumId w:val="18"/>
  </w:num>
  <w:num w:numId="19">
    <w:abstractNumId w:val="3"/>
  </w:num>
  <w:num w:numId="20">
    <w:abstractNumId w:val="15"/>
  </w:num>
  <w:num w:numId="21">
    <w:abstractNumId w:val="11"/>
  </w:num>
  <w:num w:numId="22">
    <w:abstractNumId w:val="5"/>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84EFB"/>
    <w:rsid w:val="000A0632"/>
    <w:rsid w:val="000B2BA7"/>
    <w:rsid w:val="000D7811"/>
    <w:rsid w:val="001609A2"/>
    <w:rsid w:val="001B656A"/>
    <w:rsid w:val="002519BA"/>
    <w:rsid w:val="0038688D"/>
    <w:rsid w:val="0046206F"/>
    <w:rsid w:val="00481507"/>
    <w:rsid w:val="00491332"/>
    <w:rsid w:val="004A55C1"/>
    <w:rsid w:val="004D31C0"/>
    <w:rsid w:val="004E1E12"/>
    <w:rsid w:val="00512917"/>
    <w:rsid w:val="005C246D"/>
    <w:rsid w:val="005E09A2"/>
    <w:rsid w:val="005E40DF"/>
    <w:rsid w:val="00635908"/>
    <w:rsid w:val="006B4B2C"/>
    <w:rsid w:val="006D3A5D"/>
    <w:rsid w:val="006F7C5A"/>
    <w:rsid w:val="00722761"/>
    <w:rsid w:val="007E7E46"/>
    <w:rsid w:val="00830AD5"/>
    <w:rsid w:val="00835B75"/>
    <w:rsid w:val="00844085"/>
    <w:rsid w:val="008B2CC3"/>
    <w:rsid w:val="008E382A"/>
    <w:rsid w:val="00946AA6"/>
    <w:rsid w:val="00A07A71"/>
    <w:rsid w:val="00AD1688"/>
    <w:rsid w:val="00AE6604"/>
    <w:rsid w:val="00B1732E"/>
    <w:rsid w:val="00B26AD2"/>
    <w:rsid w:val="00B33BDF"/>
    <w:rsid w:val="00B4054E"/>
    <w:rsid w:val="00B55C88"/>
    <w:rsid w:val="00B57C58"/>
    <w:rsid w:val="00BA0FA6"/>
    <w:rsid w:val="00BA5525"/>
    <w:rsid w:val="00BF1E4F"/>
    <w:rsid w:val="00C004C7"/>
    <w:rsid w:val="00C26AA2"/>
    <w:rsid w:val="00C545DD"/>
    <w:rsid w:val="00C55DBA"/>
    <w:rsid w:val="00C60125"/>
    <w:rsid w:val="00CA20E5"/>
    <w:rsid w:val="00CD7CE2"/>
    <w:rsid w:val="00CF670F"/>
    <w:rsid w:val="00D52A49"/>
    <w:rsid w:val="00D84ECD"/>
    <w:rsid w:val="00DC5F8D"/>
    <w:rsid w:val="00E9588B"/>
    <w:rsid w:val="00E969BA"/>
    <w:rsid w:val="00EE04F1"/>
    <w:rsid w:val="00EE5005"/>
    <w:rsid w:val="00EF3019"/>
    <w:rsid w:val="00F31778"/>
    <w:rsid w:val="00F45C59"/>
    <w:rsid w:val="00F66949"/>
    <w:rsid w:val="00F7125F"/>
    <w:rsid w:val="00F7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a08e4fde709d392d55222329ff70541">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3893a530bfc35b7aa42cd54f0b1ebcd6"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0BB8B-FB11-4F75-8BF7-A613D52BBF74}">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 ds:uri="176f1576-a76c-44cb-8fdf-eb8550ff43ad"/>
    <ds:schemaRef ds:uri="http://schemas.microsoft.com/office/2006/documentManagement/types"/>
    <ds:schemaRef ds:uri="http://purl.org/dc/terms/"/>
    <ds:schemaRef ds:uri="3da77b5f-9ac3-486a-a670-ec11a3be6a4f"/>
    <ds:schemaRef ds:uri="http://purl.org/dc/elements/1.1/"/>
  </ds:schemaRefs>
</ds:datastoreItem>
</file>

<file path=customXml/itemProps2.xml><?xml version="1.0" encoding="utf-8"?>
<ds:datastoreItem xmlns:ds="http://schemas.openxmlformats.org/officeDocument/2006/customXml" ds:itemID="{6A555E17-2368-43F6-A3A9-CE1BC463E9B3}">
  <ds:schemaRefs>
    <ds:schemaRef ds:uri="http://schemas.microsoft.com/sharepoint/v3/contenttype/forms"/>
  </ds:schemaRefs>
</ds:datastoreItem>
</file>

<file path=customXml/itemProps3.xml><?xml version="1.0" encoding="utf-8"?>
<ds:datastoreItem xmlns:ds="http://schemas.openxmlformats.org/officeDocument/2006/customXml" ds:itemID="{37F84786-EC47-4B7D-A03A-CD7B708E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2</cp:revision>
  <cp:lastPrinted>2024-08-02T09:44:00Z</cp:lastPrinted>
  <dcterms:created xsi:type="dcterms:W3CDTF">2024-12-20T16:52:00Z</dcterms:created>
  <dcterms:modified xsi:type="dcterms:W3CDTF">2024-12-20T16:52:00Z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y fmtid="{D5CDD505-2E9C-101B-9397-08002B2CF9AE}" pid="5" name="ContentTypeId">
    <vt:lpwstr>0x010100195F928035914A4CAB1B85072FA6600B</vt:lpwstr>
  </property>
</Properties>
</file>